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75" w:rsidRDefault="002E5E75">
      <w:pPr>
        <w:pStyle w:val="ConsPlusTitlePage"/>
      </w:pPr>
      <w:r>
        <w:t xml:space="preserve">Документ предоставлен </w:t>
      </w:r>
      <w:hyperlink r:id="rId5">
        <w:r>
          <w:rPr>
            <w:color w:val="0000FF"/>
          </w:rPr>
          <w:t>КонсультантПлюс</w:t>
        </w:r>
      </w:hyperlink>
      <w:r>
        <w:br/>
      </w:r>
    </w:p>
    <w:p w:rsidR="002E5E75" w:rsidRDefault="002E5E75">
      <w:pPr>
        <w:pStyle w:val="ConsPlusNormal"/>
        <w:jc w:val="both"/>
        <w:outlineLvl w:val="0"/>
      </w:pPr>
    </w:p>
    <w:p w:rsidR="002E5E75" w:rsidRDefault="002E5E75">
      <w:pPr>
        <w:pStyle w:val="ConsPlusNormal"/>
        <w:outlineLvl w:val="0"/>
      </w:pPr>
      <w:r>
        <w:t>Зарегистрировано в Минюсте России 31 августа 2022 г. N 69875</w:t>
      </w:r>
    </w:p>
    <w:p w:rsidR="002E5E75" w:rsidRDefault="002E5E75">
      <w:pPr>
        <w:pStyle w:val="ConsPlusNormal"/>
        <w:pBdr>
          <w:bottom w:val="single" w:sz="6" w:space="0" w:color="auto"/>
        </w:pBdr>
        <w:spacing w:before="100" w:after="100"/>
        <w:jc w:val="both"/>
        <w:rPr>
          <w:sz w:val="2"/>
          <w:szCs w:val="2"/>
        </w:rPr>
      </w:pPr>
    </w:p>
    <w:p w:rsidR="002E5E75" w:rsidRDefault="002E5E75">
      <w:pPr>
        <w:pStyle w:val="ConsPlusNormal"/>
        <w:jc w:val="both"/>
      </w:pPr>
    </w:p>
    <w:p w:rsidR="002E5E75" w:rsidRDefault="002E5E75">
      <w:pPr>
        <w:pStyle w:val="ConsPlusTitle"/>
        <w:jc w:val="center"/>
      </w:pPr>
      <w:r>
        <w:t>ЦЕНТРАЛЬНЫЙ БАНК РОССИЙСКОЙ ФЕДЕРАЦИИ</w:t>
      </w:r>
    </w:p>
    <w:p w:rsidR="002E5E75" w:rsidRDefault="002E5E75">
      <w:pPr>
        <w:pStyle w:val="ConsPlusTitle"/>
        <w:jc w:val="center"/>
      </w:pPr>
    </w:p>
    <w:p w:rsidR="002E5E75" w:rsidRDefault="002E5E75">
      <w:pPr>
        <w:pStyle w:val="ConsPlusTitle"/>
        <w:jc w:val="center"/>
      </w:pPr>
      <w:bookmarkStart w:id="0" w:name="_GoBack"/>
      <w:r>
        <w:t>УКАЗАНИЕ</w:t>
      </w:r>
    </w:p>
    <w:p w:rsidR="002E5E75" w:rsidRDefault="002E5E75">
      <w:pPr>
        <w:pStyle w:val="ConsPlusTitle"/>
        <w:jc w:val="center"/>
      </w:pPr>
      <w:r>
        <w:t>от 3 июня 2022 г. N 6150-У</w:t>
      </w:r>
    </w:p>
    <w:bookmarkEnd w:id="0"/>
    <w:p w:rsidR="002E5E75" w:rsidRDefault="002E5E75">
      <w:pPr>
        <w:pStyle w:val="ConsPlusTitle"/>
        <w:jc w:val="center"/>
      </w:pPr>
    </w:p>
    <w:p w:rsidR="002E5E75" w:rsidRDefault="002E5E75">
      <w:pPr>
        <w:pStyle w:val="ConsPlusTitle"/>
        <w:jc w:val="center"/>
      </w:pPr>
      <w:r>
        <w:t>О ФОРМЕ</w:t>
      </w:r>
    </w:p>
    <w:p w:rsidR="002E5E75" w:rsidRDefault="002E5E75">
      <w:pPr>
        <w:pStyle w:val="ConsPlusTitle"/>
        <w:jc w:val="center"/>
      </w:pPr>
      <w:proofErr w:type="gramStart"/>
      <w:r>
        <w:t>ВКЛЮЧАЕМОЙ</w:t>
      </w:r>
      <w:proofErr w:type="gramEnd"/>
      <w:r>
        <w:t xml:space="preserve"> В ДОГОВОРЫ БАНКОВСКОГО ВКЛАДА С ФИЗИЧЕСКИМИ</w:t>
      </w:r>
    </w:p>
    <w:p w:rsidR="002E5E75" w:rsidRDefault="002E5E75">
      <w:pPr>
        <w:pStyle w:val="ConsPlusTitle"/>
        <w:jc w:val="center"/>
      </w:pPr>
      <w:r>
        <w:t xml:space="preserve">ЛИЦАМИ ТАБЛИЦЫ, В КОТОРОЙ УКАЗЫВАЕТСЯ </w:t>
      </w:r>
      <w:proofErr w:type="gramStart"/>
      <w:r>
        <w:t>ПРЕДУСМОТРЕННАЯ</w:t>
      </w:r>
      <w:proofErr w:type="gramEnd"/>
    </w:p>
    <w:p w:rsidR="002E5E75" w:rsidRDefault="002E5E75">
      <w:pPr>
        <w:pStyle w:val="ConsPlusTitle"/>
        <w:jc w:val="center"/>
      </w:pPr>
      <w:r>
        <w:t>ЧАСТЯМИ ПЕРВОЙ И ВТОРОЙ СТАТЬИ 36.2 ФЕДЕРАЛЬНОГО ЗАКОНА</w:t>
      </w:r>
    </w:p>
    <w:p w:rsidR="002E5E75" w:rsidRDefault="002E5E75">
      <w:pPr>
        <w:pStyle w:val="ConsPlusTitle"/>
        <w:jc w:val="center"/>
      </w:pPr>
      <w:r>
        <w:t xml:space="preserve">ОТ 2 ДЕКАБРЯ 1990 ГОДА N 395-I "О БАНКАХ И </w:t>
      </w:r>
      <w:proofErr w:type="gramStart"/>
      <w:r>
        <w:t>БАНКОВСКОЙ</w:t>
      </w:r>
      <w:proofErr w:type="gramEnd"/>
    </w:p>
    <w:p w:rsidR="002E5E75" w:rsidRDefault="002E5E75">
      <w:pPr>
        <w:pStyle w:val="ConsPlusTitle"/>
        <w:jc w:val="center"/>
      </w:pPr>
      <w:r>
        <w:t>ДЕЯТЕЛЬНОСТИ" ИНФОРМАЦИЯ</w:t>
      </w:r>
    </w:p>
    <w:p w:rsidR="002E5E75" w:rsidRDefault="002E5E75">
      <w:pPr>
        <w:pStyle w:val="ConsPlusNormal"/>
        <w:jc w:val="both"/>
      </w:pPr>
    </w:p>
    <w:p w:rsidR="002E5E75" w:rsidRDefault="002E5E75">
      <w:pPr>
        <w:pStyle w:val="ConsPlusNormal"/>
        <w:ind w:firstLine="540"/>
        <w:jc w:val="both"/>
      </w:pPr>
      <w:r>
        <w:t xml:space="preserve">На основании </w:t>
      </w:r>
      <w:hyperlink r:id="rId6">
        <w:r>
          <w:rPr>
            <w:color w:val="0000FF"/>
          </w:rPr>
          <w:t>части первой статьи 36.2</w:t>
        </w:r>
      </w:hyperlink>
      <w:r>
        <w:t xml:space="preserve"> Федерального закона от 2 декабря 1990 года N 395-I "О банках и банковской деятельности" (в редакции Федерального закона от 3 февраля 1996 года N 17-ФЗ) &lt;1&gt;:</w:t>
      </w:r>
    </w:p>
    <w:p w:rsidR="002E5E75" w:rsidRDefault="002E5E75">
      <w:pPr>
        <w:pStyle w:val="ConsPlusNormal"/>
        <w:spacing w:before="200"/>
        <w:ind w:firstLine="540"/>
        <w:jc w:val="both"/>
      </w:pPr>
      <w:r>
        <w:t>--------------------------------</w:t>
      </w:r>
    </w:p>
    <w:p w:rsidR="002E5E75" w:rsidRDefault="002E5E75">
      <w:pPr>
        <w:pStyle w:val="ConsPlusNormal"/>
        <w:spacing w:before="200"/>
        <w:ind w:firstLine="540"/>
        <w:jc w:val="both"/>
      </w:pPr>
      <w:r>
        <w:t>&lt;1&gt; Ведомости Съезда народных депутатов РСФСР и Верховного Совета РСФСР, 1990, N 27, ст. 357; Собрание законодательства Российской Федерации, 1996, N 6, ст. 492; 2021, N 27, ст. 5152.</w:t>
      </w:r>
    </w:p>
    <w:p w:rsidR="002E5E75" w:rsidRDefault="002E5E75">
      <w:pPr>
        <w:pStyle w:val="ConsPlusNormal"/>
        <w:jc w:val="both"/>
      </w:pPr>
    </w:p>
    <w:p w:rsidR="002E5E75" w:rsidRDefault="002E5E75">
      <w:pPr>
        <w:pStyle w:val="ConsPlusNormal"/>
        <w:ind w:firstLine="540"/>
        <w:jc w:val="both"/>
      </w:pPr>
      <w:r>
        <w:t xml:space="preserve">1. </w:t>
      </w:r>
      <w:proofErr w:type="gramStart"/>
      <w:r>
        <w:t xml:space="preserve">Настоящее Указание устанавливает </w:t>
      </w:r>
      <w:hyperlink w:anchor="P49">
        <w:r>
          <w:rPr>
            <w:color w:val="0000FF"/>
          </w:rPr>
          <w:t>форму</w:t>
        </w:r>
      </w:hyperlink>
      <w:r>
        <w:t xml:space="preserve"> включаемой в договоры банковского вклада с физическими лицами таблицы, в которой указывается предусмотренная </w:t>
      </w:r>
      <w:hyperlink r:id="rId7">
        <w:r>
          <w:rPr>
            <w:color w:val="0000FF"/>
          </w:rPr>
          <w:t>частями первой</w:t>
        </w:r>
      </w:hyperlink>
      <w:r>
        <w:t xml:space="preserve"> и </w:t>
      </w:r>
      <w:hyperlink r:id="rId8">
        <w:r>
          <w:rPr>
            <w:color w:val="0000FF"/>
          </w:rPr>
          <w:t>второй статьи 36.2</w:t>
        </w:r>
      </w:hyperlink>
      <w:r>
        <w:t xml:space="preserve"> Федерального закона от 2 декабря 1990 года N 395-I "О банках и банковской деятельности" (в редакции Федерального закона от 3 февраля 1996 года N 17-ФЗ) &lt;2&gt; информация (далее - таблица условий договора банковского вклада) (приложение к настоящему Указанию).</w:t>
      </w:r>
      <w:proofErr w:type="gramEnd"/>
    </w:p>
    <w:p w:rsidR="002E5E75" w:rsidRDefault="002E5E75">
      <w:pPr>
        <w:pStyle w:val="ConsPlusNormal"/>
        <w:spacing w:before="200"/>
        <w:ind w:firstLine="540"/>
        <w:jc w:val="both"/>
      </w:pPr>
      <w:r>
        <w:t>--------------------------------</w:t>
      </w:r>
    </w:p>
    <w:p w:rsidR="002E5E75" w:rsidRDefault="002E5E75">
      <w:pPr>
        <w:pStyle w:val="ConsPlusNormal"/>
        <w:spacing w:before="200"/>
        <w:ind w:firstLine="540"/>
        <w:jc w:val="both"/>
      </w:pPr>
      <w:r>
        <w:t>&lt;2&gt; Ведомости Съезда народных депутатов РСФСР и Верховного Совета РСФСР, 1990, N 27, ст. 357; Собрание законодательства Российской Федерации, 1996, N 6, ст. 492; 2021, N 27, ст. 5152.</w:t>
      </w:r>
    </w:p>
    <w:p w:rsidR="002E5E75" w:rsidRDefault="002E5E75">
      <w:pPr>
        <w:pStyle w:val="ConsPlusNormal"/>
        <w:jc w:val="both"/>
      </w:pPr>
    </w:p>
    <w:p w:rsidR="002E5E75" w:rsidRDefault="002E5E75">
      <w:pPr>
        <w:pStyle w:val="ConsPlusNormal"/>
        <w:ind w:firstLine="540"/>
        <w:jc w:val="both"/>
      </w:pPr>
      <w:r>
        <w:t xml:space="preserve">2. Настоящее Указание подлежит официальному опубликованию и в соответствии с решением Совета директоров Банка России (протокол </w:t>
      </w:r>
      <w:proofErr w:type="gramStart"/>
      <w:r>
        <w:t>заседания Совета директоров Банка России</w:t>
      </w:r>
      <w:proofErr w:type="gramEnd"/>
      <w:r>
        <w:t xml:space="preserve"> от 27 мая 2022 года N ПСД-35) вступает в силу с 1 октября 2022 года.</w:t>
      </w:r>
    </w:p>
    <w:p w:rsidR="002E5E75" w:rsidRDefault="002E5E75">
      <w:pPr>
        <w:pStyle w:val="ConsPlusNormal"/>
        <w:jc w:val="both"/>
      </w:pPr>
    </w:p>
    <w:p w:rsidR="002E5E75" w:rsidRDefault="002E5E75">
      <w:pPr>
        <w:pStyle w:val="ConsPlusNormal"/>
        <w:jc w:val="right"/>
      </w:pPr>
      <w:r>
        <w:t>Председатель Центрального банка</w:t>
      </w:r>
    </w:p>
    <w:p w:rsidR="002E5E75" w:rsidRDefault="002E5E75">
      <w:pPr>
        <w:pStyle w:val="ConsPlusNormal"/>
        <w:jc w:val="right"/>
      </w:pPr>
      <w:r>
        <w:t>Российской Федерации</w:t>
      </w:r>
    </w:p>
    <w:p w:rsidR="002E5E75" w:rsidRDefault="002E5E75">
      <w:pPr>
        <w:pStyle w:val="ConsPlusNormal"/>
        <w:jc w:val="right"/>
      </w:pPr>
      <w:r>
        <w:t>Э.С.НАБИУЛЛИНА</w:t>
      </w:r>
    </w:p>
    <w:p w:rsidR="002E5E75" w:rsidRDefault="002E5E75">
      <w:pPr>
        <w:pStyle w:val="ConsPlusNormal"/>
        <w:jc w:val="both"/>
      </w:pPr>
    </w:p>
    <w:p w:rsidR="002E5E75" w:rsidRDefault="002E5E75">
      <w:pPr>
        <w:pStyle w:val="ConsPlusNormal"/>
        <w:jc w:val="both"/>
      </w:pPr>
    </w:p>
    <w:p w:rsidR="002E5E75" w:rsidRDefault="002E5E75">
      <w:pPr>
        <w:pStyle w:val="ConsPlusNormal"/>
        <w:jc w:val="both"/>
      </w:pPr>
    </w:p>
    <w:p w:rsidR="002E5E75" w:rsidRDefault="002E5E75">
      <w:pPr>
        <w:pStyle w:val="ConsPlusNormal"/>
        <w:jc w:val="both"/>
      </w:pPr>
    </w:p>
    <w:p w:rsidR="002E5E75" w:rsidRDefault="002E5E75">
      <w:pPr>
        <w:pStyle w:val="ConsPlusNormal"/>
        <w:jc w:val="both"/>
      </w:pPr>
    </w:p>
    <w:p w:rsidR="002E5E75" w:rsidRDefault="002E5E75">
      <w:pPr>
        <w:pStyle w:val="ConsPlusNormal"/>
        <w:jc w:val="right"/>
        <w:outlineLvl w:val="0"/>
      </w:pPr>
      <w:r>
        <w:t>Приложение</w:t>
      </w:r>
    </w:p>
    <w:p w:rsidR="002E5E75" w:rsidRDefault="002E5E75">
      <w:pPr>
        <w:pStyle w:val="ConsPlusNormal"/>
        <w:jc w:val="right"/>
      </w:pPr>
      <w:r>
        <w:t>к Указанию Банка России</w:t>
      </w:r>
    </w:p>
    <w:p w:rsidR="002E5E75" w:rsidRDefault="002E5E75">
      <w:pPr>
        <w:pStyle w:val="ConsPlusNormal"/>
        <w:jc w:val="right"/>
      </w:pPr>
      <w:r>
        <w:t>от 3 июня 2022 года N 6150-У</w:t>
      </w:r>
    </w:p>
    <w:p w:rsidR="002E5E75" w:rsidRDefault="002E5E75">
      <w:pPr>
        <w:pStyle w:val="ConsPlusNormal"/>
        <w:jc w:val="right"/>
      </w:pPr>
      <w:r>
        <w:t xml:space="preserve">"О </w:t>
      </w:r>
      <w:proofErr w:type="gramStart"/>
      <w:r>
        <w:t>форме</w:t>
      </w:r>
      <w:proofErr w:type="gramEnd"/>
      <w:r>
        <w:t xml:space="preserve"> включаемой в договоры</w:t>
      </w:r>
    </w:p>
    <w:p w:rsidR="002E5E75" w:rsidRDefault="002E5E75">
      <w:pPr>
        <w:pStyle w:val="ConsPlusNormal"/>
        <w:jc w:val="right"/>
      </w:pPr>
      <w:r>
        <w:t xml:space="preserve">банковского вклада с </w:t>
      </w:r>
      <w:proofErr w:type="gramStart"/>
      <w:r>
        <w:t>физическими</w:t>
      </w:r>
      <w:proofErr w:type="gramEnd"/>
    </w:p>
    <w:p w:rsidR="002E5E75" w:rsidRDefault="002E5E75">
      <w:pPr>
        <w:pStyle w:val="ConsPlusNormal"/>
        <w:jc w:val="right"/>
      </w:pPr>
      <w:r>
        <w:t>лицами таблицы, в которой</w:t>
      </w:r>
    </w:p>
    <w:p w:rsidR="002E5E75" w:rsidRDefault="002E5E75">
      <w:pPr>
        <w:pStyle w:val="ConsPlusNormal"/>
        <w:jc w:val="right"/>
      </w:pPr>
      <w:r>
        <w:t xml:space="preserve">указывается </w:t>
      </w:r>
      <w:proofErr w:type="gramStart"/>
      <w:r>
        <w:t>предусмотренная</w:t>
      </w:r>
      <w:proofErr w:type="gramEnd"/>
      <w:r>
        <w:t xml:space="preserve"> частями</w:t>
      </w:r>
    </w:p>
    <w:p w:rsidR="002E5E75" w:rsidRDefault="002E5E75">
      <w:pPr>
        <w:pStyle w:val="ConsPlusNormal"/>
        <w:jc w:val="right"/>
      </w:pPr>
      <w:r>
        <w:t>первой и второй статьи 36.2</w:t>
      </w:r>
    </w:p>
    <w:p w:rsidR="002E5E75" w:rsidRDefault="002E5E75">
      <w:pPr>
        <w:pStyle w:val="ConsPlusNormal"/>
        <w:jc w:val="right"/>
      </w:pPr>
      <w:r>
        <w:t>Федерального закона</w:t>
      </w:r>
    </w:p>
    <w:p w:rsidR="002E5E75" w:rsidRDefault="002E5E75">
      <w:pPr>
        <w:pStyle w:val="ConsPlusNormal"/>
        <w:jc w:val="right"/>
      </w:pPr>
      <w:r>
        <w:t>от 2 декабря 1990 года N 395-I</w:t>
      </w:r>
    </w:p>
    <w:p w:rsidR="002E5E75" w:rsidRDefault="002E5E75">
      <w:pPr>
        <w:pStyle w:val="ConsPlusNormal"/>
        <w:jc w:val="right"/>
      </w:pPr>
      <w:r>
        <w:lastRenderedPageBreak/>
        <w:t xml:space="preserve">"О банках и </w:t>
      </w:r>
      <w:proofErr w:type="gramStart"/>
      <w:r>
        <w:t>банковской</w:t>
      </w:r>
      <w:proofErr w:type="gramEnd"/>
    </w:p>
    <w:p w:rsidR="002E5E75" w:rsidRDefault="002E5E75">
      <w:pPr>
        <w:pStyle w:val="ConsPlusNormal"/>
        <w:jc w:val="right"/>
      </w:pPr>
      <w:r>
        <w:t>деятельности" информация"</w:t>
      </w:r>
    </w:p>
    <w:p w:rsidR="002E5E75" w:rsidRDefault="002E5E75">
      <w:pPr>
        <w:pStyle w:val="ConsPlusNormal"/>
        <w:jc w:val="both"/>
      </w:pPr>
    </w:p>
    <w:p w:rsidR="002E5E75" w:rsidRDefault="002E5E75">
      <w:pPr>
        <w:pStyle w:val="ConsPlusNormal"/>
        <w:jc w:val="right"/>
      </w:pPr>
      <w:r>
        <w:t>Форма</w:t>
      </w:r>
    </w:p>
    <w:p w:rsidR="002E5E75" w:rsidRDefault="002E5E75">
      <w:pPr>
        <w:pStyle w:val="ConsPlusNormal"/>
        <w:jc w:val="both"/>
      </w:pPr>
    </w:p>
    <w:p w:rsidR="002E5E75" w:rsidRDefault="002E5E75">
      <w:pPr>
        <w:pStyle w:val="ConsPlusNormal"/>
        <w:jc w:val="center"/>
      </w:pPr>
      <w:bookmarkStart w:id="1" w:name="P49"/>
      <w:bookmarkEnd w:id="1"/>
      <w:r>
        <w:t>ТАБЛИЦА</w:t>
      </w:r>
    </w:p>
    <w:p w:rsidR="002E5E75" w:rsidRDefault="002E5E75">
      <w:pPr>
        <w:pStyle w:val="ConsPlusNormal"/>
        <w:jc w:val="center"/>
      </w:pPr>
      <w:r>
        <w:t>условий договора банковского вклада</w:t>
      </w:r>
    </w:p>
    <w:p w:rsidR="002E5E75" w:rsidRDefault="002E5E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70"/>
        <w:gridCol w:w="2551"/>
      </w:tblGrid>
      <w:tr w:rsidR="002E5E75">
        <w:tc>
          <w:tcPr>
            <w:tcW w:w="624" w:type="dxa"/>
          </w:tcPr>
          <w:p w:rsidR="002E5E75" w:rsidRDefault="002E5E75">
            <w:pPr>
              <w:pStyle w:val="ConsPlusNormal"/>
              <w:jc w:val="center"/>
            </w:pPr>
            <w:r>
              <w:t xml:space="preserve">N </w:t>
            </w:r>
            <w:proofErr w:type="gramStart"/>
            <w:r>
              <w:t>п</w:t>
            </w:r>
            <w:proofErr w:type="gramEnd"/>
            <w:r>
              <w:t>/п</w:t>
            </w:r>
          </w:p>
        </w:tc>
        <w:tc>
          <w:tcPr>
            <w:tcW w:w="5870" w:type="dxa"/>
          </w:tcPr>
          <w:p w:rsidR="002E5E75" w:rsidRDefault="002E5E75">
            <w:pPr>
              <w:pStyle w:val="ConsPlusNormal"/>
              <w:jc w:val="center"/>
            </w:pPr>
            <w:r>
              <w:t>Условие договора банковского вклада</w:t>
            </w:r>
          </w:p>
        </w:tc>
        <w:tc>
          <w:tcPr>
            <w:tcW w:w="2551" w:type="dxa"/>
          </w:tcPr>
          <w:p w:rsidR="002E5E75" w:rsidRDefault="002E5E75">
            <w:pPr>
              <w:pStyle w:val="ConsPlusNormal"/>
              <w:jc w:val="center"/>
            </w:pPr>
            <w:r>
              <w:t>Содержание условия договора банковского вклада</w:t>
            </w:r>
          </w:p>
        </w:tc>
      </w:tr>
      <w:tr w:rsidR="002E5E75">
        <w:tc>
          <w:tcPr>
            <w:tcW w:w="624" w:type="dxa"/>
          </w:tcPr>
          <w:p w:rsidR="002E5E75" w:rsidRDefault="002E5E75">
            <w:pPr>
              <w:pStyle w:val="ConsPlusNormal"/>
              <w:jc w:val="center"/>
            </w:pPr>
            <w:r>
              <w:t>1</w:t>
            </w:r>
          </w:p>
        </w:tc>
        <w:tc>
          <w:tcPr>
            <w:tcW w:w="5870" w:type="dxa"/>
          </w:tcPr>
          <w:p w:rsidR="002E5E75" w:rsidRDefault="002E5E75">
            <w:pPr>
              <w:pStyle w:val="ConsPlusNormal"/>
              <w:jc w:val="center"/>
            </w:pPr>
            <w:r>
              <w:t>2</w:t>
            </w:r>
          </w:p>
        </w:tc>
        <w:tc>
          <w:tcPr>
            <w:tcW w:w="2551" w:type="dxa"/>
          </w:tcPr>
          <w:p w:rsidR="002E5E75" w:rsidRDefault="002E5E75">
            <w:pPr>
              <w:pStyle w:val="ConsPlusNormal"/>
              <w:jc w:val="center"/>
            </w:pPr>
            <w:r>
              <w:t>3</w:t>
            </w:r>
          </w:p>
        </w:tc>
      </w:tr>
      <w:tr w:rsidR="002E5E75">
        <w:tc>
          <w:tcPr>
            <w:tcW w:w="624" w:type="dxa"/>
          </w:tcPr>
          <w:p w:rsidR="002E5E75" w:rsidRDefault="002E5E75">
            <w:pPr>
              <w:pStyle w:val="ConsPlusNormal"/>
              <w:jc w:val="center"/>
            </w:pPr>
            <w:r>
              <w:t>1</w:t>
            </w:r>
          </w:p>
        </w:tc>
        <w:tc>
          <w:tcPr>
            <w:tcW w:w="5870" w:type="dxa"/>
          </w:tcPr>
          <w:p w:rsidR="002E5E75" w:rsidRDefault="002E5E75">
            <w:pPr>
              <w:pStyle w:val="ConsPlusNormal"/>
              <w:ind w:firstLine="283"/>
              <w:jc w:val="both"/>
            </w:pPr>
            <w:r>
              <w:t>Вид вклада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2</w:t>
            </w:r>
          </w:p>
        </w:tc>
        <w:tc>
          <w:tcPr>
            <w:tcW w:w="5870" w:type="dxa"/>
          </w:tcPr>
          <w:p w:rsidR="002E5E75" w:rsidRDefault="002E5E75">
            <w:pPr>
              <w:pStyle w:val="ConsPlusNormal"/>
              <w:ind w:firstLine="283"/>
              <w:jc w:val="both"/>
            </w:pPr>
            <w:r>
              <w:t>Сумма и валюта вклада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3</w:t>
            </w:r>
          </w:p>
        </w:tc>
        <w:tc>
          <w:tcPr>
            <w:tcW w:w="5870" w:type="dxa"/>
          </w:tcPr>
          <w:p w:rsidR="002E5E75" w:rsidRDefault="002E5E75">
            <w:pPr>
              <w:pStyle w:val="ConsPlusNormal"/>
              <w:ind w:firstLine="283"/>
              <w:jc w:val="both"/>
            </w:pPr>
            <w:r>
              <w:t>Возможность пополнения вклада, имеющиеся ограничения на пополнение вклада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4</w:t>
            </w:r>
          </w:p>
        </w:tc>
        <w:tc>
          <w:tcPr>
            <w:tcW w:w="5870" w:type="dxa"/>
          </w:tcPr>
          <w:p w:rsidR="002E5E75" w:rsidRDefault="002E5E75">
            <w:pPr>
              <w:pStyle w:val="ConsPlusNormal"/>
              <w:ind w:firstLine="283"/>
              <w:jc w:val="both"/>
            </w:pPr>
            <w:r>
              <w:t>Срок и дата возврата вклада - по срочным вкладам.</w:t>
            </w:r>
          </w:p>
          <w:p w:rsidR="002E5E75" w:rsidRDefault="002E5E75">
            <w:pPr>
              <w:pStyle w:val="ConsPlusNormal"/>
              <w:ind w:firstLine="283"/>
              <w:jc w:val="both"/>
            </w:pPr>
            <w:r>
              <w:t>По договорам банковского вклада, заключенным на условиях выдачи вклада по требованию, указываются слова "до востребования"</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5</w:t>
            </w:r>
          </w:p>
        </w:tc>
        <w:tc>
          <w:tcPr>
            <w:tcW w:w="5870" w:type="dxa"/>
          </w:tcPr>
          <w:p w:rsidR="002E5E75" w:rsidRDefault="002E5E75">
            <w:pPr>
              <w:pStyle w:val="ConsPlusNormal"/>
              <w:ind w:firstLine="283"/>
              <w:jc w:val="both"/>
            </w:pPr>
            <w:r>
              <w:t>Процентная ставка (процентные ставки) по вкладу в процентах годовых - по договорам банковского вклада,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(постоянная процентная ставка). При наличии нескольких процентных ставок по вкладу указываются условие и период времени применения каждой из них. По вкладам до востребования процентная ставка указывается на дату заключения договора банковского вклада, а также указывается информация о возможности изменения банком размера выплачиваемых процентов в случае, если такая возможность предусмотрена договором банковского вклада.</w:t>
            </w:r>
          </w:p>
          <w:p w:rsidR="002E5E75" w:rsidRDefault="002E5E75">
            <w:pPr>
              <w:pStyle w:val="ConsPlusNormal"/>
              <w:ind w:firstLine="283"/>
              <w:jc w:val="both"/>
            </w:pPr>
            <w:r>
              <w:t>При применении переменной процентной ставки (процентной ставки, содержащей переменные величины, значения которых определяются исходя из обстоятельств, не зависящих от банка и аффилированных с ним лиц) - порядок ее определения и значение на дату заключения договора банковского вклада, порядок и срок информирования вкладчика об изменении такой процентной ставки</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6</w:t>
            </w:r>
          </w:p>
        </w:tc>
        <w:tc>
          <w:tcPr>
            <w:tcW w:w="5870" w:type="dxa"/>
          </w:tcPr>
          <w:p w:rsidR="002E5E75" w:rsidRDefault="002E5E75">
            <w:pPr>
              <w:pStyle w:val="ConsPlusNormal"/>
              <w:ind w:firstLine="283"/>
              <w:jc w:val="both"/>
            </w:pPr>
            <w:r>
              <w:t>Порядок выплаты вкладчику процентов по вкладу</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7</w:t>
            </w:r>
          </w:p>
        </w:tc>
        <w:tc>
          <w:tcPr>
            <w:tcW w:w="5870" w:type="dxa"/>
          </w:tcPr>
          <w:p w:rsidR="002E5E75" w:rsidRDefault="002E5E75">
            <w:pPr>
              <w:pStyle w:val="ConsPlusNormal"/>
              <w:ind w:firstLine="283"/>
              <w:jc w:val="both"/>
            </w:pPr>
            <w:r>
              <w:t>Процентная ставка (процентные ставки) либо порядок ее (их) определения при досрочном возврате суммы срочного вклада или ее части по требованию вкладчика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8</w:t>
            </w:r>
          </w:p>
        </w:tc>
        <w:tc>
          <w:tcPr>
            <w:tcW w:w="5870" w:type="dxa"/>
          </w:tcPr>
          <w:p w:rsidR="002E5E75" w:rsidRDefault="002E5E75">
            <w:pPr>
              <w:pStyle w:val="ConsPlusNormal"/>
              <w:ind w:firstLine="283"/>
              <w:jc w:val="both"/>
            </w:pPr>
            <w:r>
              <w:t>Возможность досрочного возврата части суммы срочного вклада без изменения условий о размере процентов и периодичности их выплаты, условия такого досрочного возврата, размер неснижаемого остатка суммы вклада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9</w:t>
            </w:r>
          </w:p>
        </w:tc>
        <w:tc>
          <w:tcPr>
            <w:tcW w:w="5870" w:type="dxa"/>
          </w:tcPr>
          <w:p w:rsidR="002E5E75" w:rsidRDefault="002E5E75">
            <w:pPr>
              <w:pStyle w:val="ConsPlusNormal"/>
              <w:ind w:firstLine="283"/>
              <w:jc w:val="both"/>
            </w:pPr>
            <w:r>
              <w:t>Возможность и порядок продления срока срочного вклада</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t>10</w:t>
            </w:r>
          </w:p>
        </w:tc>
        <w:tc>
          <w:tcPr>
            <w:tcW w:w="5870" w:type="dxa"/>
          </w:tcPr>
          <w:p w:rsidR="002E5E75" w:rsidRDefault="002E5E75">
            <w:pPr>
              <w:pStyle w:val="ConsPlusNormal"/>
              <w:ind w:firstLine="283"/>
              <w:jc w:val="both"/>
            </w:pPr>
            <w:r>
              <w:t>Способ обмена информацией между банком и вкладчиком</w:t>
            </w:r>
          </w:p>
        </w:tc>
        <w:tc>
          <w:tcPr>
            <w:tcW w:w="2551" w:type="dxa"/>
          </w:tcPr>
          <w:p w:rsidR="002E5E75" w:rsidRDefault="002E5E75">
            <w:pPr>
              <w:pStyle w:val="ConsPlusNormal"/>
            </w:pPr>
          </w:p>
        </w:tc>
      </w:tr>
      <w:tr w:rsidR="002E5E75">
        <w:tc>
          <w:tcPr>
            <w:tcW w:w="624" w:type="dxa"/>
          </w:tcPr>
          <w:p w:rsidR="002E5E75" w:rsidRDefault="002E5E75">
            <w:pPr>
              <w:pStyle w:val="ConsPlusNormal"/>
              <w:jc w:val="center"/>
            </w:pPr>
            <w:r>
              <w:lastRenderedPageBreak/>
              <w:t>...</w:t>
            </w:r>
          </w:p>
        </w:tc>
        <w:tc>
          <w:tcPr>
            <w:tcW w:w="5870" w:type="dxa"/>
          </w:tcPr>
          <w:p w:rsidR="002E5E75" w:rsidRDefault="002E5E75">
            <w:pPr>
              <w:pStyle w:val="ConsPlusNormal"/>
              <w:ind w:firstLine="283"/>
              <w:jc w:val="both"/>
            </w:pPr>
            <w:r>
              <w:t>Иные условия, не противоречащие требованиям федеральных законов (включаются при наличии дополнительными строками с продолжением нумерации до порядку)</w:t>
            </w:r>
          </w:p>
        </w:tc>
        <w:tc>
          <w:tcPr>
            <w:tcW w:w="2551" w:type="dxa"/>
          </w:tcPr>
          <w:p w:rsidR="002E5E75" w:rsidRDefault="002E5E75">
            <w:pPr>
              <w:pStyle w:val="ConsPlusNormal"/>
            </w:pPr>
          </w:p>
        </w:tc>
      </w:tr>
    </w:tbl>
    <w:p w:rsidR="002E5E75" w:rsidRDefault="002E5E75">
      <w:pPr>
        <w:pStyle w:val="ConsPlusNormal"/>
        <w:jc w:val="both"/>
      </w:pPr>
    </w:p>
    <w:p w:rsidR="002E5E75" w:rsidRDefault="002E5E75">
      <w:pPr>
        <w:pStyle w:val="ConsPlusNormal"/>
        <w:ind w:firstLine="540"/>
        <w:jc w:val="both"/>
      </w:pPr>
      <w:r>
        <w:t xml:space="preserve">При размещении </w:t>
      </w:r>
      <w:proofErr w:type="gramStart"/>
      <w:r>
        <w:t>части таблицы условий договора банковского вклада</w:t>
      </w:r>
      <w:proofErr w:type="gramEnd"/>
      <w:r>
        <w:t xml:space="preserve"> на второй и следующих по порядку страницах договора банковского вклада заголовки граф таблицы условий договора банковского вклада повторяются. Строки таблицы условий договора банковского вклада переносятся на следующую страницу целиком, кроме случаев, когда содержание условия договора банковского вклада занимает более чем одну страницу договора банковского вклада. Исключение строк из таблицы условий договора банковского вклада не допускается. Настоящий абзац в таблицу условий договора банковского вклада не включается.</w:t>
      </w:r>
    </w:p>
    <w:p w:rsidR="002E5E75" w:rsidRDefault="002E5E75">
      <w:pPr>
        <w:pStyle w:val="ConsPlusNormal"/>
        <w:jc w:val="both"/>
      </w:pPr>
    </w:p>
    <w:p w:rsidR="002E5E75" w:rsidRDefault="002E5E75">
      <w:pPr>
        <w:pStyle w:val="ConsPlusNormal"/>
        <w:jc w:val="both"/>
      </w:pPr>
    </w:p>
    <w:p w:rsidR="002E5E75" w:rsidRDefault="002E5E75">
      <w:pPr>
        <w:pStyle w:val="ConsPlusNormal"/>
        <w:pBdr>
          <w:bottom w:val="single" w:sz="6" w:space="0" w:color="auto"/>
        </w:pBdr>
        <w:spacing w:before="100" w:after="100"/>
        <w:jc w:val="both"/>
        <w:rPr>
          <w:sz w:val="2"/>
          <w:szCs w:val="2"/>
        </w:rPr>
      </w:pPr>
    </w:p>
    <w:p w:rsidR="007D4037" w:rsidRDefault="007D4037"/>
    <w:sectPr w:rsidR="007D4037" w:rsidSect="002C4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75"/>
    <w:rsid w:val="002E5E75"/>
    <w:rsid w:val="007D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E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5E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E5E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E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E5E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E5E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B8E3EFAE55582736C629744C685FE742D4B405979768EBC94568D8E96B4E7004730EB8CD731AD59DD7B4F44D07B2BBED9C3BF073Ds5t4C" TargetMode="External"/><Relationship Id="rId3" Type="http://schemas.openxmlformats.org/officeDocument/2006/relationships/settings" Target="settings.xml"/><Relationship Id="rId7" Type="http://schemas.openxmlformats.org/officeDocument/2006/relationships/hyperlink" Target="consultantplus://offline/ref=09EB8E3EFAE55582736C629744C685FE742D4B405979768EBC94568D8E96B4E7004730EB8CD630AD59DD7B4F44D07B2BBED9C3BF073Ds5t4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EB8E3EFAE55582736C629744C685FE742D4B405979768EBC94568D8E96B4E7004730EB8CD630AD59DD7B4F44D07B2BBED9C3BF073Ds5t4C"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ukcentr_02</dc:creator>
  <cp:lastModifiedBy>ukcentr_02</cp:lastModifiedBy>
  <cp:revision>1</cp:revision>
  <dcterms:created xsi:type="dcterms:W3CDTF">2022-09-13T02:45:00Z</dcterms:created>
  <dcterms:modified xsi:type="dcterms:W3CDTF">2022-09-13T02:47:00Z</dcterms:modified>
</cp:coreProperties>
</file>